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640" w:type="dxa"/>
        <w:tblInd w:w="-714" w:type="dxa"/>
        <w:tblLook w:val="04A0" w:firstRow="1" w:lastRow="0" w:firstColumn="1" w:lastColumn="0" w:noHBand="0" w:noVBand="1"/>
      </w:tblPr>
      <w:tblGrid>
        <w:gridCol w:w="9640"/>
      </w:tblGrid>
      <w:tr w:rsidR="00B565C9" w:rsidRPr="00B565C9" w:rsidTr="00C95DC4">
        <w:trPr>
          <w:trHeight w:val="5124"/>
        </w:trPr>
        <w:tc>
          <w:tcPr>
            <w:tcW w:w="9640" w:type="dxa"/>
          </w:tcPr>
          <w:p w:rsidR="00B565C9" w:rsidRPr="00B565C9" w:rsidRDefault="00B565C9" w:rsidP="00C95DC4">
            <w:pPr>
              <w:spacing w:line="300" w:lineRule="atLeast"/>
              <w:ind w:firstLine="22"/>
              <w:jc w:val="center"/>
              <w:textAlignment w:val="baseline"/>
              <w:rPr>
                <w:rFonts w:eastAsia="Times New Roman" w:cs="Times New Roman"/>
                <w:color w:val="292E33"/>
                <w:lang w:eastAsia="pt-BR"/>
              </w:rPr>
            </w:pPr>
            <w:bookmarkStart w:id="0" w:name="_GoBack"/>
            <w:bookmarkEnd w:id="0"/>
            <w:r w:rsidRPr="00B565C9">
              <w:rPr>
                <w:rFonts w:eastAsia="Times New Roman" w:cs="Times New Roman"/>
                <w:b/>
                <w:bCs/>
                <w:color w:val="292E33"/>
                <w:bdr w:val="none" w:sz="0" w:space="0" w:color="auto" w:frame="1"/>
                <w:lang w:eastAsia="pt-BR"/>
              </w:rPr>
              <w:t>TABELA II</w:t>
            </w:r>
            <w:r w:rsidRPr="00CB161B">
              <w:rPr>
                <w:rFonts w:eastAsia="Times New Roman" w:cs="Times New Roman"/>
                <w:b/>
                <w:bCs/>
                <w:color w:val="292E33"/>
                <w:bdr w:val="none" w:sz="0" w:space="0" w:color="auto" w:frame="1"/>
                <w:lang w:eastAsia="pt-BR"/>
              </w:rPr>
              <w:t xml:space="preserve"> para cálculo da Contribuição Sindical vigente a</w:t>
            </w:r>
            <w:r w:rsidR="00811F91">
              <w:rPr>
                <w:rFonts w:eastAsia="Times New Roman" w:cs="Times New Roman"/>
                <w:b/>
                <w:bCs/>
                <w:color w:val="292E33"/>
                <w:bdr w:val="none" w:sz="0" w:space="0" w:color="auto" w:frame="1"/>
                <w:lang w:eastAsia="pt-BR"/>
              </w:rPr>
              <w:t xml:space="preserve"> partir de 01 de janeiro de 2019</w:t>
            </w:r>
          </w:p>
          <w:p w:rsidR="00B565C9" w:rsidRPr="00CB161B" w:rsidRDefault="00811F91" w:rsidP="00B565C9">
            <w:pPr>
              <w:spacing w:before="150" w:line="300" w:lineRule="atLeast"/>
              <w:jc w:val="center"/>
              <w:textAlignment w:val="baseline"/>
              <w:rPr>
                <w:rFonts w:eastAsia="Times New Roman" w:cs="Times New Roman"/>
                <w:color w:val="292E33"/>
                <w:lang w:eastAsia="pt-BR"/>
              </w:rPr>
            </w:pPr>
            <w:r>
              <w:rPr>
                <w:rFonts w:eastAsia="Times New Roman" w:cs="Times New Roman"/>
                <w:color w:val="292E33"/>
                <w:lang w:eastAsia="pt-BR"/>
              </w:rPr>
              <w:t>Para os agentes do comércio ou trabalhadores autônomos, não organizados em empresa (item II do art. 580 da CLT, alterado pela Lei 7.047 de 01 de dezembro de 1982), considerando os centavos, na forma do Decreto-lei nº 2.284/86.</w:t>
            </w:r>
          </w:p>
          <w:p w:rsidR="00B565C9" w:rsidRDefault="00B565C9" w:rsidP="00B565C9">
            <w:pPr>
              <w:spacing w:before="150" w:line="300" w:lineRule="atLeast"/>
              <w:jc w:val="center"/>
              <w:textAlignment w:val="baseline"/>
              <w:rPr>
                <w:rFonts w:eastAsia="Times New Roman" w:cs="Times New Roman"/>
                <w:color w:val="292E33"/>
                <w:sz w:val="18"/>
                <w:szCs w:val="24"/>
                <w:lang w:eastAsia="pt-BR"/>
              </w:rPr>
            </w:pPr>
          </w:p>
          <w:tbl>
            <w:tblPr>
              <w:tblW w:w="9403" w:type="dxa"/>
              <w:tblInd w:w="1" w:type="dxa"/>
              <w:shd w:val="clear" w:color="auto" w:fill="DBE5F1"/>
              <w:tblCellMar>
                <w:left w:w="0" w:type="dxa"/>
                <w:right w:w="0" w:type="dxa"/>
              </w:tblCellMar>
              <w:tblLook w:val="04A0" w:firstRow="1" w:lastRow="0" w:firstColumn="1" w:lastColumn="0" w:noHBand="0" w:noVBand="1"/>
            </w:tblPr>
            <w:tblGrid>
              <w:gridCol w:w="861"/>
              <w:gridCol w:w="3149"/>
              <w:gridCol w:w="2370"/>
              <w:gridCol w:w="3023"/>
            </w:tblGrid>
            <w:tr w:rsidR="00B565C9" w:rsidRPr="00B565C9" w:rsidTr="00C95DC4">
              <w:trPr>
                <w:trHeight w:val="264"/>
              </w:trPr>
              <w:tc>
                <w:tcPr>
                  <w:tcW w:w="861" w:type="dxa"/>
                  <w:tcBorders>
                    <w:top w:val="dashed" w:sz="8" w:space="0" w:color="BBBBBB"/>
                    <w:left w:val="dashed" w:sz="8" w:space="0" w:color="BBBBBB"/>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color w:val="292E33"/>
                      <w:sz w:val="18"/>
                      <w:szCs w:val="24"/>
                      <w:lang w:eastAsia="pt-BR"/>
                    </w:rPr>
                    <w:t> </w:t>
                  </w:r>
                  <w:r w:rsidRPr="00B565C9">
                    <w:rPr>
                      <w:rFonts w:eastAsia="Times New Roman" w:cs="Times New Roman"/>
                      <w:b/>
                      <w:bCs/>
                      <w:sz w:val="18"/>
                      <w:szCs w:val="24"/>
                      <w:bdr w:val="none" w:sz="0" w:space="0" w:color="auto" w:frame="1"/>
                      <w:lang w:eastAsia="pt-BR"/>
                    </w:rPr>
                    <w:t>LINHA</w:t>
                  </w:r>
                  <w:r w:rsidRPr="00B565C9">
                    <w:rPr>
                      <w:rFonts w:eastAsia="Times New Roman" w:cs="Times New Roman"/>
                      <w:sz w:val="18"/>
                      <w:szCs w:val="24"/>
                      <w:bdr w:val="none" w:sz="0" w:space="0" w:color="auto" w:frame="1"/>
                      <w:lang w:eastAsia="pt-BR"/>
                    </w:rPr>
                    <w:t> </w:t>
                  </w:r>
                </w:p>
              </w:tc>
              <w:tc>
                <w:tcPr>
                  <w:tcW w:w="3149" w:type="dxa"/>
                  <w:tcBorders>
                    <w:top w:val="dashed" w:sz="8" w:space="0" w:color="BBBBBB"/>
                    <w:left w:val="nil"/>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b/>
                      <w:bCs/>
                      <w:sz w:val="18"/>
                      <w:szCs w:val="24"/>
                      <w:bdr w:val="none" w:sz="0" w:space="0" w:color="auto" w:frame="1"/>
                      <w:lang w:eastAsia="pt-BR"/>
                    </w:rPr>
                    <w:t>CLASSE DE CAPITAL SOCIAL (em R$)</w:t>
                  </w:r>
                  <w:r w:rsidRPr="00B565C9">
                    <w:rPr>
                      <w:rFonts w:eastAsia="Times New Roman" w:cs="Times New Roman"/>
                      <w:sz w:val="18"/>
                      <w:szCs w:val="24"/>
                      <w:bdr w:val="none" w:sz="0" w:space="0" w:color="auto" w:frame="1"/>
                      <w:lang w:eastAsia="pt-BR"/>
                    </w:rPr>
                    <w:t> </w:t>
                  </w:r>
                </w:p>
              </w:tc>
              <w:tc>
                <w:tcPr>
                  <w:tcW w:w="2370" w:type="dxa"/>
                  <w:tcBorders>
                    <w:top w:val="dashed" w:sz="8" w:space="0" w:color="BBBBBB"/>
                    <w:left w:val="nil"/>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b/>
                      <w:bCs/>
                      <w:sz w:val="18"/>
                      <w:szCs w:val="24"/>
                      <w:bdr w:val="none" w:sz="0" w:space="0" w:color="auto" w:frame="1"/>
                      <w:lang w:eastAsia="pt-BR"/>
                    </w:rPr>
                    <w:t>ALÍQUOTA %</w:t>
                  </w:r>
                  <w:r w:rsidRPr="00B565C9">
                    <w:rPr>
                      <w:rFonts w:eastAsia="Times New Roman" w:cs="Times New Roman"/>
                      <w:sz w:val="18"/>
                      <w:szCs w:val="24"/>
                      <w:bdr w:val="none" w:sz="0" w:space="0" w:color="auto" w:frame="1"/>
                      <w:lang w:eastAsia="pt-BR"/>
                    </w:rPr>
                    <w:t> </w:t>
                  </w:r>
                </w:p>
              </w:tc>
              <w:tc>
                <w:tcPr>
                  <w:tcW w:w="3023" w:type="dxa"/>
                  <w:tcBorders>
                    <w:top w:val="dashed" w:sz="8" w:space="0" w:color="BBBBBB"/>
                    <w:left w:val="nil"/>
                    <w:bottom w:val="dashed" w:sz="8" w:space="0" w:color="BBBBBB"/>
                    <w:right w:val="dashed" w:sz="8" w:space="0" w:color="BBBBBB"/>
                  </w:tcBorders>
                  <w:shd w:val="clear" w:color="auto" w:fill="B8CCE4"/>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b/>
                      <w:bCs/>
                      <w:sz w:val="18"/>
                      <w:szCs w:val="24"/>
                      <w:bdr w:val="none" w:sz="0" w:space="0" w:color="auto" w:frame="1"/>
                      <w:lang w:eastAsia="pt-BR"/>
                    </w:rPr>
                    <w:t>PARCELA A ADICIONAR (R$)</w:t>
                  </w:r>
                  <w:r w:rsidRPr="00B565C9">
                    <w:rPr>
                      <w:rFonts w:eastAsia="Times New Roman" w:cs="Times New Roman"/>
                      <w:sz w:val="18"/>
                      <w:szCs w:val="24"/>
                      <w:bdr w:val="none" w:sz="0" w:space="0" w:color="auto" w:frame="1"/>
                      <w:lang w:eastAsia="pt-BR"/>
                    </w:rPr>
                    <w:t> </w:t>
                  </w:r>
                </w:p>
              </w:tc>
            </w:tr>
            <w:tr w:rsidR="00B565C9" w:rsidRPr="00B565C9" w:rsidTr="00C95DC4">
              <w:trPr>
                <w:trHeight w:val="264"/>
              </w:trPr>
              <w:tc>
                <w:tcPr>
                  <w:tcW w:w="861"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01</w:t>
                  </w:r>
                </w:p>
              </w:tc>
              <w:tc>
                <w:tcPr>
                  <w:tcW w:w="3149"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proofErr w:type="gramStart"/>
                  <w:r w:rsidRPr="00B565C9">
                    <w:rPr>
                      <w:rFonts w:eastAsia="Times New Roman" w:cs="Times New Roman"/>
                      <w:sz w:val="18"/>
                      <w:szCs w:val="24"/>
                      <w:bdr w:val="none" w:sz="0" w:space="0" w:color="auto" w:frame="1"/>
                      <w:lang w:eastAsia="pt-BR"/>
                    </w:rPr>
                    <w:t>de</w:t>
                  </w:r>
                  <w:proofErr w:type="gramEnd"/>
                  <w:r w:rsidRPr="00B565C9">
                    <w:rPr>
                      <w:rFonts w:eastAsia="Times New Roman" w:cs="Times New Roman"/>
                      <w:sz w:val="18"/>
                      <w:szCs w:val="24"/>
                      <w:bdr w:val="none" w:sz="0" w:space="0" w:color="auto" w:frame="1"/>
                      <w:lang w:eastAsia="pt-BR"/>
                    </w:rPr>
                    <w:t xml:space="preserve"> 0,01 a </w:t>
                  </w:r>
                  <w:r w:rsidR="00811F91">
                    <w:rPr>
                      <w:rFonts w:eastAsia="Times New Roman" w:cs="Times New Roman"/>
                      <w:sz w:val="18"/>
                      <w:szCs w:val="24"/>
                      <w:bdr w:val="none" w:sz="0" w:space="0" w:color="auto" w:frame="1"/>
                      <w:lang w:eastAsia="pt-BR"/>
                    </w:rPr>
                    <w:t>29.268,75</w:t>
                  </w:r>
                </w:p>
              </w:tc>
              <w:tc>
                <w:tcPr>
                  <w:tcW w:w="2370"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Contr. Mínima</w:t>
                  </w:r>
                </w:p>
              </w:tc>
              <w:tc>
                <w:tcPr>
                  <w:tcW w:w="3023"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C95DC4" w:rsidP="00B565C9">
                  <w:pPr>
                    <w:spacing w:after="0" w:line="225" w:lineRule="atLeast"/>
                    <w:textAlignment w:val="baseline"/>
                    <w:rPr>
                      <w:rFonts w:eastAsia="Times New Roman" w:cs="Times New Roman"/>
                      <w:sz w:val="18"/>
                      <w:szCs w:val="24"/>
                      <w:lang w:eastAsia="pt-BR"/>
                    </w:rPr>
                  </w:pPr>
                  <w:r>
                    <w:rPr>
                      <w:rFonts w:eastAsia="Times New Roman" w:cs="Times New Roman"/>
                      <w:sz w:val="18"/>
                      <w:szCs w:val="24"/>
                      <w:bdr w:val="none" w:sz="0" w:space="0" w:color="auto" w:frame="1"/>
                      <w:lang w:eastAsia="pt-BR"/>
                    </w:rPr>
                    <w:t>234,15</w:t>
                  </w:r>
                </w:p>
              </w:tc>
            </w:tr>
            <w:tr w:rsidR="00B565C9" w:rsidRPr="00B565C9" w:rsidTr="00C95DC4">
              <w:trPr>
                <w:trHeight w:val="264"/>
              </w:trPr>
              <w:tc>
                <w:tcPr>
                  <w:tcW w:w="861"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02</w:t>
                  </w:r>
                </w:p>
              </w:tc>
              <w:tc>
                <w:tcPr>
                  <w:tcW w:w="3149"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811F91"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D</w:t>
                  </w:r>
                  <w:r w:rsidR="00B565C9" w:rsidRPr="00B565C9">
                    <w:rPr>
                      <w:rFonts w:eastAsia="Times New Roman" w:cs="Times New Roman"/>
                      <w:sz w:val="18"/>
                      <w:szCs w:val="24"/>
                      <w:bdr w:val="none" w:sz="0" w:space="0" w:color="auto" w:frame="1"/>
                      <w:lang w:eastAsia="pt-BR"/>
                    </w:rPr>
                    <w:t>e</w:t>
                  </w:r>
                  <w:r>
                    <w:rPr>
                      <w:rFonts w:eastAsia="Times New Roman" w:cs="Times New Roman"/>
                      <w:sz w:val="18"/>
                      <w:szCs w:val="24"/>
                      <w:bdr w:val="none" w:sz="0" w:space="0" w:color="auto" w:frame="1"/>
                      <w:lang w:eastAsia="pt-BR"/>
                    </w:rPr>
                    <w:t xml:space="preserve"> 29.268,76</w:t>
                  </w:r>
                  <w:r w:rsidR="00B565C9" w:rsidRPr="00B565C9">
                    <w:rPr>
                      <w:rFonts w:eastAsia="Times New Roman" w:cs="Times New Roman"/>
                      <w:sz w:val="18"/>
                      <w:szCs w:val="24"/>
                      <w:bdr w:val="none" w:sz="0" w:space="0" w:color="auto" w:frame="1"/>
                      <w:lang w:eastAsia="pt-BR"/>
                    </w:rPr>
                    <w:t xml:space="preserve"> a </w:t>
                  </w:r>
                  <w:r>
                    <w:rPr>
                      <w:rFonts w:eastAsia="Times New Roman" w:cs="Times New Roman"/>
                      <w:sz w:val="18"/>
                      <w:szCs w:val="24"/>
                      <w:bdr w:val="none" w:sz="0" w:space="0" w:color="auto" w:frame="1"/>
                      <w:lang w:eastAsia="pt-BR"/>
                    </w:rPr>
                    <w:t>58.537,50</w:t>
                  </w:r>
                </w:p>
              </w:tc>
              <w:tc>
                <w:tcPr>
                  <w:tcW w:w="2370"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0,8%</w:t>
                  </w:r>
                </w:p>
              </w:tc>
              <w:tc>
                <w:tcPr>
                  <w:tcW w:w="3023"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 -</w:t>
                  </w:r>
                </w:p>
              </w:tc>
            </w:tr>
            <w:tr w:rsidR="00B565C9" w:rsidRPr="00B565C9" w:rsidTr="00C95DC4">
              <w:trPr>
                <w:trHeight w:val="264"/>
              </w:trPr>
              <w:tc>
                <w:tcPr>
                  <w:tcW w:w="861"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03</w:t>
                  </w:r>
                </w:p>
              </w:tc>
              <w:tc>
                <w:tcPr>
                  <w:tcW w:w="3149"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proofErr w:type="gramStart"/>
                  <w:r w:rsidRPr="00B565C9">
                    <w:rPr>
                      <w:rFonts w:eastAsia="Times New Roman" w:cs="Times New Roman"/>
                      <w:sz w:val="18"/>
                      <w:szCs w:val="24"/>
                      <w:bdr w:val="none" w:sz="0" w:space="0" w:color="auto" w:frame="1"/>
                      <w:lang w:eastAsia="pt-BR"/>
                    </w:rPr>
                    <w:t>de</w:t>
                  </w:r>
                  <w:proofErr w:type="gramEnd"/>
                  <w:r w:rsidRPr="00B565C9">
                    <w:rPr>
                      <w:rFonts w:eastAsia="Times New Roman" w:cs="Times New Roman"/>
                      <w:sz w:val="18"/>
                      <w:szCs w:val="24"/>
                      <w:bdr w:val="none" w:sz="0" w:space="0" w:color="auto" w:frame="1"/>
                      <w:lang w:eastAsia="pt-BR"/>
                    </w:rPr>
                    <w:t> </w:t>
                  </w:r>
                  <w:r w:rsidR="00811F91">
                    <w:rPr>
                      <w:rFonts w:eastAsia="Times New Roman" w:cs="Times New Roman"/>
                      <w:sz w:val="18"/>
                      <w:szCs w:val="24"/>
                      <w:bdr w:val="none" w:sz="0" w:space="0" w:color="auto" w:frame="1"/>
                      <w:shd w:val="clear" w:color="auto" w:fill="DBE5F1"/>
                      <w:lang w:eastAsia="pt-BR"/>
                    </w:rPr>
                    <w:t>58.537,51</w:t>
                  </w:r>
                  <w:r w:rsidRPr="00B565C9">
                    <w:rPr>
                      <w:rFonts w:eastAsia="Times New Roman" w:cs="Times New Roman"/>
                      <w:sz w:val="18"/>
                      <w:szCs w:val="24"/>
                      <w:bdr w:val="none" w:sz="0" w:space="0" w:color="auto" w:frame="1"/>
                      <w:lang w:eastAsia="pt-BR"/>
                    </w:rPr>
                    <w:t xml:space="preserve"> a </w:t>
                  </w:r>
                  <w:r w:rsidR="00811F91">
                    <w:rPr>
                      <w:rFonts w:eastAsia="Times New Roman" w:cs="Times New Roman"/>
                      <w:sz w:val="18"/>
                      <w:szCs w:val="24"/>
                      <w:bdr w:val="none" w:sz="0" w:space="0" w:color="auto" w:frame="1"/>
                      <w:lang w:eastAsia="pt-BR"/>
                    </w:rPr>
                    <w:t>585.375,00</w:t>
                  </w:r>
                </w:p>
              </w:tc>
              <w:tc>
                <w:tcPr>
                  <w:tcW w:w="2370"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0,2%</w:t>
                  </w:r>
                </w:p>
              </w:tc>
              <w:tc>
                <w:tcPr>
                  <w:tcW w:w="3023"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C95DC4" w:rsidP="00B565C9">
                  <w:pPr>
                    <w:spacing w:after="0" w:line="225" w:lineRule="atLeast"/>
                    <w:textAlignment w:val="baseline"/>
                    <w:rPr>
                      <w:rFonts w:eastAsia="Times New Roman" w:cs="Times New Roman"/>
                      <w:sz w:val="18"/>
                      <w:szCs w:val="24"/>
                      <w:lang w:eastAsia="pt-BR"/>
                    </w:rPr>
                  </w:pPr>
                  <w:r>
                    <w:rPr>
                      <w:rFonts w:eastAsia="Times New Roman" w:cs="Times New Roman"/>
                      <w:sz w:val="18"/>
                      <w:szCs w:val="24"/>
                      <w:bdr w:val="none" w:sz="0" w:space="0" w:color="auto" w:frame="1"/>
                      <w:lang w:eastAsia="pt-BR"/>
                    </w:rPr>
                    <w:t>351,22</w:t>
                  </w:r>
                </w:p>
              </w:tc>
            </w:tr>
            <w:tr w:rsidR="00B565C9" w:rsidRPr="00B565C9" w:rsidTr="00C95DC4">
              <w:trPr>
                <w:trHeight w:val="264"/>
              </w:trPr>
              <w:tc>
                <w:tcPr>
                  <w:tcW w:w="861"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04</w:t>
                  </w:r>
                </w:p>
              </w:tc>
              <w:tc>
                <w:tcPr>
                  <w:tcW w:w="3149"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proofErr w:type="gramStart"/>
                  <w:r w:rsidRPr="00B565C9">
                    <w:rPr>
                      <w:rFonts w:eastAsia="Times New Roman" w:cs="Times New Roman"/>
                      <w:sz w:val="18"/>
                      <w:szCs w:val="24"/>
                      <w:bdr w:val="none" w:sz="0" w:space="0" w:color="auto" w:frame="1"/>
                      <w:lang w:eastAsia="pt-BR"/>
                    </w:rPr>
                    <w:t>de</w:t>
                  </w:r>
                  <w:proofErr w:type="gramEnd"/>
                  <w:r w:rsidRPr="00B565C9">
                    <w:rPr>
                      <w:rFonts w:eastAsia="Times New Roman" w:cs="Times New Roman"/>
                      <w:sz w:val="18"/>
                      <w:szCs w:val="24"/>
                      <w:bdr w:val="none" w:sz="0" w:space="0" w:color="auto" w:frame="1"/>
                      <w:lang w:eastAsia="pt-BR"/>
                    </w:rPr>
                    <w:t xml:space="preserve"> </w:t>
                  </w:r>
                  <w:r w:rsidR="00811F91">
                    <w:rPr>
                      <w:rFonts w:eastAsia="Times New Roman" w:cs="Times New Roman"/>
                      <w:sz w:val="18"/>
                      <w:szCs w:val="24"/>
                      <w:bdr w:val="none" w:sz="0" w:space="0" w:color="auto" w:frame="1"/>
                      <w:lang w:eastAsia="pt-BR"/>
                    </w:rPr>
                    <w:t>585.375,01</w:t>
                  </w:r>
                  <w:r w:rsidRPr="00B565C9">
                    <w:rPr>
                      <w:rFonts w:eastAsia="Times New Roman" w:cs="Times New Roman"/>
                      <w:sz w:val="18"/>
                      <w:szCs w:val="24"/>
                      <w:bdr w:val="none" w:sz="0" w:space="0" w:color="auto" w:frame="1"/>
                      <w:lang w:eastAsia="pt-BR"/>
                    </w:rPr>
                    <w:t xml:space="preserve">  a </w:t>
                  </w:r>
                  <w:r w:rsidR="00811F91">
                    <w:rPr>
                      <w:rFonts w:eastAsia="Times New Roman" w:cs="Times New Roman"/>
                      <w:sz w:val="18"/>
                      <w:szCs w:val="24"/>
                      <w:bdr w:val="none" w:sz="0" w:space="0" w:color="auto" w:frame="1"/>
                      <w:lang w:eastAsia="pt-BR"/>
                    </w:rPr>
                    <w:t>58.537.500,00</w:t>
                  </w:r>
                </w:p>
              </w:tc>
              <w:tc>
                <w:tcPr>
                  <w:tcW w:w="2370"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0,1%</w:t>
                  </w:r>
                </w:p>
              </w:tc>
              <w:tc>
                <w:tcPr>
                  <w:tcW w:w="3023"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C95DC4" w:rsidP="00B565C9">
                  <w:pPr>
                    <w:spacing w:after="0" w:line="225" w:lineRule="atLeast"/>
                    <w:textAlignment w:val="baseline"/>
                    <w:rPr>
                      <w:rFonts w:eastAsia="Times New Roman" w:cs="Times New Roman"/>
                      <w:sz w:val="18"/>
                      <w:szCs w:val="24"/>
                      <w:lang w:eastAsia="pt-BR"/>
                    </w:rPr>
                  </w:pPr>
                  <w:r>
                    <w:rPr>
                      <w:rFonts w:eastAsia="Times New Roman" w:cs="Times New Roman"/>
                      <w:sz w:val="18"/>
                      <w:szCs w:val="24"/>
                      <w:bdr w:val="none" w:sz="0" w:space="0" w:color="auto" w:frame="1"/>
                      <w:lang w:eastAsia="pt-BR"/>
                    </w:rPr>
                    <w:t>936,60</w:t>
                  </w:r>
                </w:p>
              </w:tc>
            </w:tr>
            <w:tr w:rsidR="00B565C9" w:rsidRPr="00B565C9" w:rsidTr="00C95DC4">
              <w:trPr>
                <w:trHeight w:val="264"/>
              </w:trPr>
              <w:tc>
                <w:tcPr>
                  <w:tcW w:w="861"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05</w:t>
                  </w:r>
                </w:p>
              </w:tc>
              <w:tc>
                <w:tcPr>
                  <w:tcW w:w="3149"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proofErr w:type="gramStart"/>
                  <w:r w:rsidRPr="00B565C9">
                    <w:rPr>
                      <w:rFonts w:eastAsia="Times New Roman" w:cs="Times New Roman"/>
                      <w:sz w:val="18"/>
                      <w:szCs w:val="24"/>
                      <w:bdr w:val="none" w:sz="0" w:space="0" w:color="auto" w:frame="1"/>
                      <w:lang w:eastAsia="pt-BR"/>
                    </w:rPr>
                    <w:t>de</w:t>
                  </w:r>
                  <w:proofErr w:type="gramEnd"/>
                  <w:r w:rsidRPr="00B565C9">
                    <w:rPr>
                      <w:rFonts w:eastAsia="Times New Roman" w:cs="Times New Roman"/>
                      <w:sz w:val="18"/>
                      <w:szCs w:val="24"/>
                      <w:bdr w:val="none" w:sz="0" w:space="0" w:color="auto" w:frame="1"/>
                      <w:lang w:eastAsia="pt-BR"/>
                    </w:rPr>
                    <w:t xml:space="preserve"> </w:t>
                  </w:r>
                  <w:r w:rsidR="00811F91">
                    <w:rPr>
                      <w:rFonts w:eastAsia="Times New Roman" w:cs="Times New Roman"/>
                      <w:sz w:val="18"/>
                      <w:szCs w:val="24"/>
                      <w:bdr w:val="none" w:sz="0" w:space="0" w:color="auto" w:frame="1"/>
                      <w:lang w:eastAsia="pt-BR"/>
                    </w:rPr>
                    <w:t>58.537.500,01</w:t>
                  </w:r>
                  <w:r w:rsidRPr="00B565C9">
                    <w:rPr>
                      <w:rFonts w:eastAsia="Times New Roman" w:cs="Times New Roman"/>
                      <w:sz w:val="18"/>
                      <w:szCs w:val="24"/>
                      <w:bdr w:val="none" w:sz="0" w:space="0" w:color="auto" w:frame="1"/>
                      <w:lang w:eastAsia="pt-BR"/>
                    </w:rPr>
                    <w:t xml:space="preserve"> a </w:t>
                  </w:r>
                  <w:r w:rsidR="00811F91">
                    <w:rPr>
                      <w:rFonts w:eastAsia="Times New Roman" w:cs="Times New Roman"/>
                      <w:sz w:val="18"/>
                      <w:szCs w:val="24"/>
                      <w:bdr w:val="none" w:sz="0" w:space="0" w:color="auto" w:frame="1"/>
                      <w:lang w:eastAsia="pt-BR"/>
                    </w:rPr>
                    <w:t>312.200.000,00</w:t>
                  </w:r>
                </w:p>
              </w:tc>
              <w:tc>
                <w:tcPr>
                  <w:tcW w:w="2370"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0,02%</w:t>
                  </w:r>
                </w:p>
              </w:tc>
              <w:tc>
                <w:tcPr>
                  <w:tcW w:w="3023"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C95DC4" w:rsidP="00B565C9">
                  <w:pPr>
                    <w:spacing w:after="0" w:line="225" w:lineRule="atLeast"/>
                    <w:textAlignment w:val="baseline"/>
                    <w:rPr>
                      <w:rFonts w:eastAsia="Times New Roman" w:cs="Times New Roman"/>
                      <w:sz w:val="18"/>
                      <w:szCs w:val="24"/>
                      <w:lang w:eastAsia="pt-BR"/>
                    </w:rPr>
                  </w:pPr>
                  <w:r>
                    <w:rPr>
                      <w:rFonts w:eastAsia="Times New Roman" w:cs="Times New Roman"/>
                      <w:sz w:val="18"/>
                      <w:szCs w:val="24"/>
                      <w:bdr w:val="none" w:sz="0" w:space="0" w:color="auto" w:frame="1"/>
                      <w:lang w:eastAsia="pt-BR"/>
                    </w:rPr>
                    <w:t>47.766,60</w:t>
                  </w:r>
                </w:p>
              </w:tc>
            </w:tr>
            <w:tr w:rsidR="00B565C9" w:rsidRPr="00B565C9" w:rsidTr="00C95DC4">
              <w:trPr>
                <w:trHeight w:val="280"/>
              </w:trPr>
              <w:tc>
                <w:tcPr>
                  <w:tcW w:w="861" w:type="dxa"/>
                  <w:tcBorders>
                    <w:top w:val="nil"/>
                    <w:left w:val="dashed" w:sz="8" w:space="0" w:color="BBBBBB"/>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06</w:t>
                  </w:r>
                </w:p>
              </w:tc>
              <w:tc>
                <w:tcPr>
                  <w:tcW w:w="3149"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proofErr w:type="gramStart"/>
                  <w:r w:rsidRPr="00B565C9">
                    <w:rPr>
                      <w:rFonts w:eastAsia="Times New Roman" w:cs="Times New Roman"/>
                      <w:sz w:val="18"/>
                      <w:szCs w:val="24"/>
                      <w:bdr w:val="none" w:sz="0" w:space="0" w:color="auto" w:frame="1"/>
                      <w:lang w:eastAsia="pt-BR"/>
                    </w:rPr>
                    <w:t>de</w:t>
                  </w:r>
                  <w:proofErr w:type="gramEnd"/>
                  <w:r w:rsidRPr="00B565C9">
                    <w:rPr>
                      <w:rFonts w:eastAsia="Times New Roman" w:cs="Times New Roman"/>
                      <w:sz w:val="18"/>
                      <w:szCs w:val="24"/>
                      <w:bdr w:val="none" w:sz="0" w:space="0" w:color="auto" w:frame="1"/>
                      <w:lang w:eastAsia="pt-BR"/>
                    </w:rPr>
                    <w:t xml:space="preserve"> </w:t>
                  </w:r>
                  <w:r w:rsidR="00811F91">
                    <w:rPr>
                      <w:rFonts w:eastAsia="Times New Roman" w:cs="Times New Roman"/>
                      <w:sz w:val="18"/>
                      <w:szCs w:val="24"/>
                      <w:bdr w:val="none" w:sz="0" w:space="0" w:color="auto" w:frame="1"/>
                      <w:lang w:eastAsia="pt-BR"/>
                    </w:rPr>
                    <w:t>312.200.000,01</w:t>
                  </w:r>
                  <w:r w:rsidRPr="00B565C9">
                    <w:rPr>
                      <w:rFonts w:eastAsia="Times New Roman" w:cs="Times New Roman"/>
                      <w:sz w:val="18"/>
                      <w:szCs w:val="24"/>
                      <w:bdr w:val="none" w:sz="0" w:space="0" w:color="auto" w:frame="1"/>
                      <w:lang w:eastAsia="pt-BR"/>
                    </w:rPr>
                    <w:t xml:space="preserve"> em diante</w:t>
                  </w:r>
                </w:p>
              </w:tc>
              <w:tc>
                <w:tcPr>
                  <w:tcW w:w="2370"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B565C9" w:rsidP="00B565C9">
                  <w:pPr>
                    <w:spacing w:after="0" w:line="225" w:lineRule="atLeast"/>
                    <w:textAlignment w:val="baseline"/>
                    <w:rPr>
                      <w:rFonts w:eastAsia="Times New Roman" w:cs="Times New Roman"/>
                      <w:sz w:val="18"/>
                      <w:szCs w:val="24"/>
                      <w:lang w:eastAsia="pt-BR"/>
                    </w:rPr>
                  </w:pPr>
                  <w:r w:rsidRPr="00B565C9">
                    <w:rPr>
                      <w:rFonts w:eastAsia="Times New Roman" w:cs="Times New Roman"/>
                      <w:sz w:val="18"/>
                      <w:szCs w:val="24"/>
                      <w:bdr w:val="none" w:sz="0" w:space="0" w:color="auto" w:frame="1"/>
                      <w:lang w:eastAsia="pt-BR"/>
                    </w:rPr>
                    <w:t>Contr. Máxima</w:t>
                  </w:r>
                </w:p>
              </w:tc>
              <w:tc>
                <w:tcPr>
                  <w:tcW w:w="3023" w:type="dxa"/>
                  <w:tcBorders>
                    <w:top w:val="nil"/>
                    <w:left w:val="nil"/>
                    <w:bottom w:val="dashed" w:sz="8" w:space="0" w:color="BBBBBB"/>
                    <w:right w:val="dashed" w:sz="8" w:space="0" w:color="BBBBBB"/>
                  </w:tcBorders>
                  <w:shd w:val="clear" w:color="auto" w:fill="DBE5F1"/>
                  <w:tcMar>
                    <w:top w:w="75" w:type="dxa"/>
                    <w:left w:w="75" w:type="dxa"/>
                    <w:bottom w:w="75" w:type="dxa"/>
                    <w:right w:w="75" w:type="dxa"/>
                  </w:tcMar>
                  <w:vAlign w:val="bottom"/>
                  <w:hideMark/>
                </w:tcPr>
                <w:p w:rsidR="00B565C9" w:rsidRPr="00B565C9" w:rsidRDefault="00C95DC4" w:rsidP="00B565C9">
                  <w:pPr>
                    <w:spacing w:after="0" w:line="225" w:lineRule="atLeast"/>
                    <w:textAlignment w:val="baseline"/>
                    <w:rPr>
                      <w:rFonts w:eastAsia="Times New Roman" w:cs="Times New Roman"/>
                      <w:sz w:val="18"/>
                      <w:szCs w:val="24"/>
                      <w:lang w:eastAsia="pt-BR"/>
                    </w:rPr>
                  </w:pPr>
                  <w:r>
                    <w:rPr>
                      <w:rFonts w:eastAsia="Times New Roman" w:cs="Times New Roman"/>
                      <w:sz w:val="18"/>
                      <w:szCs w:val="24"/>
                      <w:bdr w:val="none" w:sz="0" w:space="0" w:color="auto" w:frame="1"/>
                      <w:lang w:eastAsia="pt-BR"/>
                    </w:rPr>
                    <w:t>110.206,60</w:t>
                  </w:r>
                </w:p>
              </w:tc>
            </w:tr>
          </w:tbl>
          <w:p w:rsidR="00B565C9" w:rsidRPr="00B565C9" w:rsidRDefault="00B565C9" w:rsidP="00B565C9">
            <w:pPr>
              <w:spacing w:line="300" w:lineRule="atLeast"/>
              <w:jc w:val="center"/>
              <w:textAlignment w:val="baseline"/>
              <w:rPr>
                <w:rFonts w:ascii="inherit" w:eastAsia="Times New Roman" w:hAnsi="inherit" w:cs="Times New Roman"/>
                <w:b/>
                <w:bCs/>
                <w:color w:val="292E33"/>
                <w:sz w:val="18"/>
                <w:szCs w:val="20"/>
                <w:bdr w:val="none" w:sz="0" w:space="0" w:color="auto" w:frame="1"/>
                <w:lang w:eastAsia="pt-BR"/>
              </w:rPr>
            </w:pPr>
          </w:p>
        </w:tc>
      </w:tr>
    </w:tbl>
    <w:p w:rsidR="00B565C9" w:rsidRDefault="00B565C9" w:rsidP="00B565C9">
      <w:pPr>
        <w:spacing w:after="0" w:line="300" w:lineRule="atLeast"/>
        <w:jc w:val="center"/>
        <w:textAlignment w:val="baseline"/>
        <w:rPr>
          <w:rFonts w:ascii="inherit" w:eastAsia="Times New Roman" w:hAnsi="inherit" w:cs="Times New Roman"/>
          <w:b/>
          <w:bCs/>
          <w:color w:val="292E33"/>
          <w:sz w:val="20"/>
          <w:szCs w:val="20"/>
          <w:bdr w:val="none" w:sz="0" w:space="0" w:color="auto" w:frame="1"/>
          <w:lang w:eastAsia="pt-BR"/>
        </w:rPr>
      </w:pPr>
    </w:p>
    <w:p w:rsidR="00B565C9" w:rsidRDefault="00B565C9" w:rsidP="00B565C9">
      <w:pPr>
        <w:spacing w:after="0" w:line="300" w:lineRule="atLeast"/>
        <w:jc w:val="center"/>
        <w:textAlignment w:val="baseline"/>
        <w:rPr>
          <w:rFonts w:ascii="inherit" w:eastAsia="Times New Roman" w:hAnsi="inherit" w:cs="Times New Roman"/>
          <w:b/>
          <w:bCs/>
          <w:color w:val="292E33"/>
          <w:sz w:val="20"/>
          <w:szCs w:val="20"/>
          <w:bdr w:val="none" w:sz="0" w:space="0" w:color="auto" w:frame="1"/>
          <w:lang w:eastAsia="pt-BR"/>
        </w:rPr>
      </w:pPr>
    </w:p>
    <w:p w:rsidR="00B565C9" w:rsidRDefault="00B565C9"/>
    <w:p w:rsidR="00B565C9" w:rsidRDefault="00B565C9"/>
    <w:sectPr w:rsidR="00B565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1D1"/>
    <w:multiLevelType w:val="hybridMultilevel"/>
    <w:tmpl w:val="61440096"/>
    <w:lvl w:ilvl="0" w:tplc="04160001">
      <w:start w:val="1"/>
      <w:numFmt w:val="bullet"/>
      <w:lvlText w:val=""/>
      <w:lvlJc w:val="left"/>
      <w:pPr>
        <w:ind w:left="720" w:hanging="360"/>
      </w:pPr>
      <w:rPr>
        <w:rFonts w:ascii="Symbol" w:hAnsi="Symbol" w:hint="default"/>
      </w:rPr>
    </w:lvl>
    <w:lvl w:ilvl="1" w:tplc="E4C03136">
      <w:numFmt w:val="bullet"/>
      <w:lvlText w:val="·"/>
      <w:lvlJc w:val="left"/>
      <w:pPr>
        <w:ind w:left="1500" w:hanging="420"/>
      </w:pPr>
      <w:rPr>
        <w:rFonts w:ascii="Calibri" w:eastAsia="Times New Roman" w:hAnsi="Calibri"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C812CF"/>
    <w:multiLevelType w:val="hybridMultilevel"/>
    <w:tmpl w:val="F614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5863EC5"/>
    <w:multiLevelType w:val="hybridMultilevel"/>
    <w:tmpl w:val="78862A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5FD3923"/>
    <w:multiLevelType w:val="hybridMultilevel"/>
    <w:tmpl w:val="8474E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C9"/>
    <w:rsid w:val="00811F91"/>
    <w:rsid w:val="00B32280"/>
    <w:rsid w:val="00B565C9"/>
    <w:rsid w:val="00BA7E35"/>
    <w:rsid w:val="00C95DC4"/>
    <w:rsid w:val="00CB161B"/>
    <w:rsid w:val="00F56F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D7AA"/>
  <w15:chartTrackingRefBased/>
  <w15:docId w15:val="{DF5D4E7C-C8FD-4246-B735-CABCA957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565C9"/>
    <w:rPr>
      <w:b/>
      <w:bCs/>
    </w:rPr>
  </w:style>
  <w:style w:type="paragraph" w:styleId="NormalWeb">
    <w:name w:val="Normal (Web)"/>
    <w:basedOn w:val="Normal"/>
    <w:uiPriority w:val="99"/>
    <w:semiHidden/>
    <w:unhideWhenUsed/>
    <w:rsid w:val="00B565C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B5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B1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3332">
      <w:bodyDiv w:val="1"/>
      <w:marLeft w:val="0"/>
      <w:marRight w:val="0"/>
      <w:marTop w:val="0"/>
      <w:marBottom w:val="0"/>
      <w:divBdr>
        <w:top w:val="none" w:sz="0" w:space="0" w:color="auto"/>
        <w:left w:val="none" w:sz="0" w:space="0" w:color="auto"/>
        <w:bottom w:val="none" w:sz="0" w:space="0" w:color="auto"/>
        <w:right w:val="none" w:sz="0" w:space="0" w:color="auto"/>
      </w:divBdr>
      <w:divsChild>
        <w:div w:id="2034652069">
          <w:marLeft w:val="0"/>
          <w:marRight w:val="0"/>
          <w:marTop w:val="0"/>
          <w:marBottom w:val="0"/>
          <w:divBdr>
            <w:top w:val="none" w:sz="0" w:space="0" w:color="auto"/>
            <w:left w:val="none" w:sz="0" w:space="0" w:color="auto"/>
            <w:bottom w:val="none" w:sz="0" w:space="0" w:color="auto"/>
            <w:right w:val="none" w:sz="0" w:space="0" w:color="auto"/>
          </w:divBdr>
        </w:div>
      </w:divsChild>
    </w:div>
    <w:div w:id="16320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580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Financeiro</cp:lastModifiedBy>
  <cp:revision>2</cp:revision>
  <dcterms:created xsi:type="dcterms:W3CDTF">2019-01-17T11:28:00Z</dcterms:created>
  <dcterms:modified xsi:type="dcterms:W3CDTF">2019-01-17T11:28:00Z</dcterms:modified>
</cp:coreProperties>
</file>